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F956F" w14:textId="77777777" w:rsidR="006666B1" w:rsidRDefault="006666B1">
      <w:pPr>
        <w:spacing w:before="120" w:after="240"/>
        <w:jc w:val="center"/>
        <w:rPr>
          <w:color w:val="000000"/>
        </w:rPr>
      </w:pPr>
    </w:p>
    <w:p w14:paraId="2E316F1F" w14:textId="3980BA93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MATRIZ DE RISCOS</w:t>
      </w:r>
    </w:p>
    <w:p w14:paraId="4E277E87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81F94FA" w14:textId="4495C0DA" w:rsidR="002855CD" w:rsidRDefault="002855CD" w:rsidP="005B5CA8">
      <w:p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Objeto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: </w:t>
      </w:r>
      <w:r w:rsidR="006A4D90">
        <w:rPr>
          <w:rFonts w:ascii="Arial" w:eastAsia="Times New Roman" w:hAnsi="Arial" w:cs="Arial"/>
          <w:sz w:val="24"/>
          <w:szCs w:val="24"/>
          <w:lang w:eastAsia="pt-BR"/>
        </w:rPr>
        <w:t>C</w:t>
      </w:r>
      <w:r w:rsidR="006A4D90" w:rsidRPr="006A4D90">
        <w:rPr>
          <w:rFonts w:ascii="Arial" w:eastAsia="Times New Roman" w:hAnsi="Arial" w:cs="Arial"/>
          <w:sz w:val="24"/>
          <w:szCs w:val="24"/>
          <w:lang w:eastAsia="pt-BR"/>
        </w:rPr>
        <w:t xml:space="preserve">ontratação de empresa de engenharia para construção da praça da </w:t>
      </w:r>
      <w:r w:rsidR="006A4D90">
        <w:rPr>
          <w:rFonts w:ascii="Arial" w:eastAsia="Times New Roman" w:hAnsi="Arial" w:cs="Arial"/>
          <w:sz w:val="24"/>
          <w:szCs w:val="24"/>
          <w:lang w:eastAsia="pt-BR"/>
        </w:rPr>
        <w:t>A</w:t>
      </w:r>
      <w:r w:rsidR="006A4D90" w:rsidRPr="006A4D90">
        <w:rPr>
          <w:rFonts w:ascii="Arial" w:eastAsia="Times New Roman" w:hAnsi="Arial" w:cs="Arial"/>
          <w:sz w:val="24"/>
          <w:szCs w:val="24"/>
          <w:lang w:eastAsia="pt-BR"/>
        </w:rPr>
        <w:t xml:space="preserve">venida </w:t>
      </w:r>
      <w:r w:rsidR="006A4D90">
        <w:rPr>
          <w:rFonts w:ascii="Arial" w:eastAsia="Times New Roman" w:hAnsi="Arial" w:cs="Arial"/>
          <w:sz w:val="24"/>
          <w:szCs w:val="24"/>
          <w:lang w:eastAsia="pt-BR"/>
        </w:rPr>
        <w:t>C</w:t>
      </w:r>
      <w:r w:rsidR="006A4D90" w:rsidRPr="006A4D90">
        <w:rPr>
          <w:rFonts w:ascii="Arial" w:eastAsia="Times New Roman" w:hAnsi="Arial" w:cs="Arial"/>
          <w:sz w:val="24"/>
          <w:szCs w:val="24"/>
          <w:lang w:eastAsia="pt-BR"/>
        </w:rPr>
        <w:t>inquentenário</w:t>
      </w:r>
      <w:r w:rsidR="005B5CA8">
        <w:rPr>
          <w:rFonts w:ascii="Arial" w:eastAsia="Times New Roman" w:hAnsi="Arial" w:cs="Arial"/>
          <w:sz w:val="24"/>
          <w:szCs w:val="24"/>
          <w:lang w:eastAsia="pt-BR"/>
        </w:rPr>
        <w:tab/>
      </w:r>
      <w:r w:rsidR="005B5CA8" w:rsidRPr="002855CD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Modalidade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>:</w:t>
      </w:r>
      <w:r w:rsidR="005B5CA8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>Concorrência</w:t>
      </w:r>
      <w:r w:rsidR="005B5CA8">
        <w:rPr>
          <w:rFonts w:ascii="Arial" w:eastAsia="Times New Roman" w:hAnsi="Arial" w:cs="Arial"/>
          <w:sz w:val="24"/>
          <w:szCs w:val="24"/>
          <w:lang w:eastAsia="pt-BR"/>
        </w:rPr>
        <w:tab/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Vigência contratual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: </w:t>
      </w:r>
      <w:r w:rsidR="006A4D90">
        <w:rPr>
          <w:rFonts w:ascii="Arial" w:eastAsia="Times New Roman" w:hAnsi="Arial" w:cs="Arial"/>
          <w:sz w:val="24"/>
          <w:szCs w:val="24"/>
          <w:lang w:eastAsia="pt-BR"/>
        </w:rPr>
        <w:t>04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meses</w:t>
      </w:r>
    </w:p>
    <w:p w14:paraId="5C727E2E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EA2FB8F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1. Conceito Legal</w:t>
      </w:r>
    </w:p>
    <w:p w14:paraId="3D997464" w14:textId="77777777" w:rsidR="002855CD" w:rsidRPr="002855CD" w:rsidRDefault="002855CD" w:rsidP="009A2A16">
      <w:p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A Matriz de Riscos é o instrumento que define a alocação objetiva dos riscos entre a Administração Pública e o contratado, indicando:</w:t>
      </w:r>
    </w:p>
    <w:p w14:paraId="4312F931" w14:textId="77777777" w:rsidR="002855CD" w:rsidRP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Eventos supervenientes;</w:t>
      </w:r>
    </w:p>
    <w:p w14:paraId="49EEB6F9" w14:textId="77777777" w:rsidR="002855CD" w:rsidRP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Responsável pelo risco;</w:t>
      </w:r>
    </w:p>
    <w:p w14:paraId="65EE570E" w14:textId="77777777" w:rsidR="002855CD" w:rsidRP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Consequências econômico-financeiras;</w:t>
      </w:r>
    </w:p>
    <w:p w14:paraId="038EA3CF" w14:textId="6EFD36DD" w:rsid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Medidas de mitigação.</w:t>
      </w:r>
    </w:p>
    <w:p w14:paraId="032EBEE4" w14:textId="7BE1F016" w:rsidR="00C751D0" w:rsidRDefault="00C751D0" w:rsidP="00C751D0">
      <w:pPr>
        <w:suppressAutoHyphens w:val="0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5C46FD5" w14:textId="4F87ABFB" w:rsidR="005B5CA8" w:rsidRPr="005B5CA8" w:rsidRDefault="005B5CA8" w:rsidP="005B5CA8">
      <w:pPr>
        <w:suppressAutoHyphens w:val="0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2. </w:t>
      </w:r>
      <w:r w:rsidRPr="005B5CA8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Matriz de Risco</w:t>
      </w:r>
      <w:r w:rsidR="00573F9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– Construção de Praça Pública</w:t>
      </w:r>
    </w:p>
    <w:p w14:paraId="5BD34C9F" w14:textId="1CA20A9C" w:rsidR="00573F95" w:rsidRPr="00573F95" w:rsidRDefault="00573F95" w:rsidP="00573F95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tbl>
      <w:tblPr>
        <w:tblW w:w="10065" w:type="dxa"/>
        <w:tblCellSpacing w:w="1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2"/>
        <w:gridCol w:w="1701"/>
        <w:gridCol w:w="1369"/>
        <w:gridCol w:w="1324"/>
        <w:gridCol w:w="1843"/>
        <w:gridCol w:w="2126"/>
      </w:tblGrid>
      <w:tr w:rsidR="008510E5" w:rsidRPr="00573F95" w14:paraId="43E53DF3" w14:textId="77777777" w:rsidTr="008510E5">
        <w:trPr>
          <w:tblHeader/>
          <w:tblCellSpacing w:w="15" w:type="dxa"/>
        </w:trPr>
        <w:tc>
          <w:tcPr>
            <w:tcW w:w="1657" w:type="dxa"/>
            <w:vAlign w:val="center"/>
            <w:hideMark/>
          </w:tcPr>
          <w:p w14:paraId="542F6699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Risco</w:t>
            </w:r>
          </w:p>
        </w:tc>
        <w:tc>
          <w:tcPr>
            <w:tcW w:w="1671" w:type="dxa"/>
            <w:vAlign w:val="center"/>
            <w:hideMark/>
          </w:tcPr>
          <w:p w14:paraId="397FD892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Causa</w:t>
            </w:r>
          </w:p>
        </w:tc>
        <w:tc>
          <w:tcPr>
            <w:tcW w:w="1339" w:type="dxa"/>
            <w:vAlign w:val="center"/>
            <w:hideMark/>
          </w:tcPr>
          <w:p w14:paraId="78A41C79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Probabilidade</w:t>
            </w:r>
          </w:p>
        </w:tc>
        <w:tc>
          <w:tcPr>
            <w:tcW w:w="1294" w:type="dxa"/>
            <w:vAlign w:val="center"/>
            <w:hideMark/>
          </w:tcPr>
          <w:p w14:paraId="4AE53A1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Impacto</w:t>
            </w:r>
          </w:p>
        </w:tc>
        <w:tc>
          <w:tcPr>
            <w:tcW w:w="1813" w:type="dxa"/>
            <w:vAlign w:val="center"/>
            <w:hideMark/>
          </w:tcPr>
          <w:p w14:paraId="56F1EF4D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Medidas Preventivas</w:t>
            </w:r>
          </w:p>
        </w:tc>
        <w:tc>
          <w:tcPr>
            <w:tcW w:w="2081" w:type="dxa"/>
            <w:vAlign w:val="center"/>
            <w:hideMark/>
          </w:tcPr>
          <w:p w14:paraId="1A76353E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Plano de Contingência</w:t>
            </w:r>
          </w:p>
        </w:tc>
      </w:tr>
      <w:tr w:rsidR="008510E5" w:rsidRPr="00573F95" w14:paraId="12C65BEF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4C86767B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Erros ou omissões nos projetos e planilhas orçamentárias</w:t>
            </w:r>
          </w:p>
        </w:tc>
        <w:tc>
          <w:tcPr>
            <w:tcW w:w="1671" w:type="dxa"/>
            <w:vAlign w:val="center"/>
            <w:hideMark/>
          </w:tcPr>
          <w:p w14:paraId="5D7C3967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Falhas na elaboração dos projetos básicos e executivos</w:t>
            </w:r>
          </w:p>
        </w:tc>
        <w:tc>
          <w:tcPr>
            <w:tcW w:w="1339" w:type="dxa"/>
            <w:vAlign w:val="center"/>
            <w:hideMark/>
          </w:tcPr>
          <w:p w14:paraId="01B313C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294" w:type="dxa"/>
            <w:vAlign w:val="center"/>
            <w:hideMark/>
          </w:tcPr>
          <w:p w14:paraId="4E09F688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6F439F50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Revisão técnica dos projetos e orçamento antes da licitação</w:t>
            </w:r>
          </w:p>
        </w:tc>
        <w:tc>
          <w:tcPr>
            <w:tcW w:w="2081" w:type="dxa"/>
            <w:vAlign w:val="center"/>
            <w:hideMark/>
          </w:tcPr>
          <w:p w14:paraId="1043C417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Realização de adequações mediante termo aditivo, observados os limites legais</w:t>
            </w:r>
          </w:p>
        </w:tc>
      </w:tr>
      <w:tr w:rsidR="008510E5" w:rsidRPr="00573F95" w14:paraId="572530CD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5EC18E6E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Licitação deserta ou fracassada</w:t>
            </w:r>
          </w:p>
        </w:tc>
        <w:tc>
          <w:tcPr>
            <w:tcW w:w="1671" w:type="dxa"/>
            <w:vAlign w:val="center"/>
            <w:hideMark/>
          </w:tcPr>
          <w:p w14:paraId="4281EB0D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Falta de interesse das empresas ou exigências excessivas</w:t>
            </w:r>
          </w:p>
        </w:tc>
        <w:tc>
          <w:tcPr>
            <w:tcW w:w="1339" w:type="dxa"/>
            <w:vAlign w:val="center"/>
            <w:hideMark/>
          </w:tcPr>
          <w:p w14:paraId="0D232A71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1294" w:type="dxa"/>
            <w:vAlign w:val="center"/>
            <w:hideMark/>
          </w:tcPr>
          <w:p w14:paraId="191FE6ED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77EADC93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Pesquisa de mercado adequada e definição de requisitos compatíveis</w:t>
            </w:r>
          </w:p>
        </w:tc>
        <w:tc>
          <w:tcPr>
            <w:tcW w:w="2081" w:type="dxa"/>
            <w:vAlign w:val="center"/>
            <w:hideMark/>
          </w:tcPr>
          <w:p w14:paraId="081CE260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Revisão do edital e realização de novo certame</w:t>
            </w:r>
          </w:p>
        </w:tc>
      </w:tr>
      <w:tr w:rsidR="008510E5" w:rsidRPr="00573F95" w14:paraId="5346F854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48CDFD97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Atraso no início da obra</w:t>
            </w:r>
          </w:p>
        </w:tc>
        <w:tc>
          <w:tcPr>
            <w:tcW w:w="1671" w:type="dxa"/>
            <w:vAlign w:val="center"/>
            <w:hideMark/>
          </w:tcPr>
          <w:p w14:paraId="218670E2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Demora na assinatura do contrato ou emissão da ordem de serviço</w:t>
            </w:r>
          </w:p>
        </w:tc>
        <w:tc>
          <w:tcPr>
            <w:tcW w:w="1339" w:type="dxa"/>
            <w:vAlign w:val="center"/>
            <w:hideMark/>
          </w:tcPr>
          <w:p w14:paraId="3DA55E93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294" w:type="dxa"/>
            <w:vAlign w:val="center"/>
            <w:hideMark/>
          </w:tcPr>
          <w:p w14:paraId="0C2A0A6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813" w:type="dxa"/>
            <w:vAlign w:val="center"/>
            <w:hideMark/>
          </w:tcPr>
          <w:p w14:paraId="43DD61C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Planejamento prévio e acompanhamento dos prazos processuais</w:t>
            </w:r>
          </w:p>
        </w:tc>
        <w:tc>
          <w:tcPr>
            <w:tcW w:w="2081" w:type="dxa"/>
            <w:vAlign w:val="center"/>
            <w:hideMark/>
          </w:tcPr>
          <w:p w14:paraId="1EFC61F7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Reprogramação do cronograma físico-financeiro</w:t>
            </w:r>
          </w:p>
        </w:tc>
      </w:tr>
      <w:tr w:rsidR="008510E5" w:rsidRPr="00573F95" w14:paraId="4BFCB786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64B17FD0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lastRenderedPageBreak/>
              <w:t>Descumprimento do cronograma pela contratada</w:t>
            </w:r>
          </w:p>
        </w:tc>
        <w:tc>
          <w:tcPr>
            <w:tcW w:w="1671" w:type="dxa"/>
            <w:vAlign w:val="center"/>
            <w:hideMark/>
          </w:tcPr>
          <w:p w14:paraId="08812B7A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Deficiência operacional ou financeira da empresa</w:t>
            </w:r>
          </w:p>
        </w:tc>
        <w:tc>
          <w:tcPr>
            <w:tcW w:w="1339" w:type="dxa"/>
            <w:vAlign w:val="center"/>
            <w:hideMark/>
          </w:tcPr>
          <w:p w14:paraId="5E6DA3C9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294" w:type="dxa"/>
            <w:vAlign w:val="center"/>
            <w:hideMark/>
          </w:tcPr>
          <w:p w14:paraId="2F314643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106155EE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Exigência de qualificação técnica e acompanhamento da execução</w:t>
            </w:r>
          </w:p>
        </w:tc>
        <w:tc>
          <w:tcPr>
            <w:tcW w:w="2081" w:type="dxa"/>
            <w:vAlign w:val="center"/>
            <w:hideMark/>
          </w:tcPr>
          <w:p w14:paraId="012A39EC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Aplicação de sanções contratuais e eventual rescisão contratual</w:t>
            </w:r>
          </w:p>
        </w:tc>
      </w:tr>
      <w:tr w:rsidR="008510E5" w:rsidRPr="00573F95" w14:paraId="24F4B198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391970A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Necessidade de serviços não previstos</w:t>
            </w:r>
          </w:p>
        </w:tc>
        <w:tc>
          <w:tcPr>
            <w:tcW w:w="1671" w:type="dxa"/>
            <w:vAlign w:val="center"/>
            <w:hideMark/>
          </w:tcPr>
          <w:p w14:paraId="2003042B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Identificação de condições imprevistas durante a execução</w:t>
            </w:r>
          </w:p>
        </w:tc>
        <w:tc>
          <w:tcPr>
            <w:tcW w:w="1339" w:type="dxa"/>
            <w:vAlign w:val="center"/>
            <w:hideMark/>
          </w:tcPr>
          <w:p w14:paraId="2EC3AF21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294" w:type="dxa"/>
            <w:vAlign w:val="center"/>
            <w:hideMark/>
          </w:tcPr>
          <w:p w14:paraId="24223FBC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50F3D25B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Realização de levantamentos e estudos preliminares detalhados</w:t>
            </w:r>
          </w:p>
        </w:tc>
        <w:tc>
          <w:tcPr>
            <w:tcW w:w="2081" w:type="dxa"/>
            <w:vAlign w:val="center"/>
            <w:hideMark/>
          </w:tcPr>
          <w:p w14:paraId="34D9DCB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Formalização de aditivos conforme legislação vigente</w:t>
            </w:r>
          </w:p>
        </w:tc>
      </w:tr>
      <w:tr w:rsidR="008510E5" w:rsidRPr="00573F95" w14:paraId="22FAC2A6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5A4DE3A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Aumento dos custos dos insumos da construção civil</w:t>
            </w:r>
          </w:p>
        </w:tc>
        <w:tc>
          <w:tcPr>
            <w:tcW w:w="1671" w:type="dxa"/>
            <w:vAlign w:val="center"/>
            <w:hideMark/>
          </w:tcPr>
          <w:p w14:paraId="7922F918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Oscilações de mercado</w:t>
            </w:r>
          </w:p>
        </w:tc>
        <w:tc>
          <w:tcPr>
            <w:tcW w:w="1339" w:type="dxa"/>
            <w:vAlign w:val="center"/>
            <w:hideMark/>
          </w:tcPr>
          <w:p w14:paraId="4DBB0AD9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294" w:type="dxa"/>
            <w:vAlign w:val="center"/>
            <w:hideMark/>
          </w:tcPr>
          <w:p w14:paraId="1B9C0DDC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813" w:type="dxa"/>
            <w:vAlign w:val="center"/>
            <w:hideMark/>
          </w:tcPr>
          <w:p w14:paraId="4CCC8165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Elaboração de orçamento atualizado e compatível com o mercado</w:t>
            </w:r>
          </w:p>
        </w:tc>
        <w:tc>
          <w:tcPr>
            <w:tcW w:w="2081" w:type="dxa"/>
            <w:vAlign w:val="center"/>
            <w:hideMark/>
          </w:tcPr>
          <w:p w14:paraId="5C8CDCAD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Aplicação dos mecanismos de reajuste previstos contratualmente</w:t>
            </w:r>
          </w:p>
        </w:tc>
      </w:tr>
      <w:tr w:rsidR="008510E5" w:rsidRPr="00573F95" w14:paraId="11B00678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090A2011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Condições climáticas adversas</w:t>
            </w:r>
          </w:p>
        </w:tc>
        <w:tc>
          <w:tcPr>
            <w:tcW w:w="1671" w:type="dxa"/>
            <w:vAlign w:val="center"/>
            <w:hideMark/>
          </w:tcPr>
          <w:p w14:paraId="647CE3C5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Chuvas intensas durante a execução</w:t>
            </w:r>
          </w:p>
        </w:tc>
        <w:tc>
          <w:tcPr>
            <w:tcW w:w="1339" w:type="dxa"/>
            <w:vAlign w:val="center"/>
            <w:hideMark/>
          </w:tcPr>
          <w:p w14:paraId="263AF43B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294" w:type="dxa"/>
            <w:vAlign w:val="center"/>
            <w:hideMark/>
          </w:tcPr>
          <w:p w14:paraId="3EB831FB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813" w:type="dxa"/>
            <w:vAlign w:val="center"/>
            <w:hideMark/>
          </w:tcPr>
          <w:p w14:paraId="3B624D0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Planejamento da obra considerando períodos chuvosos</w:t>
            </w:r>
          </w:p>
        </w:tc>
        <w:tc>
          <w:tcPr>
            <w:tcW w:w="2081" w:type="dxa"/>
            <w:vAlign w:val="center"/>
            <w:hideMark/>
          </w:tcPr>
          <w:p w14:paraId="45315C55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Readequação do cronograma de execução</w:t>
            </w:r>
          </w:p>
        </w:tc>
      </w:tr>
      <w:tr w:rsidR="008510E5" w:rsidRPr="00573F95" w14:paraId="1B46F4A8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28F4D80D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Acidentes de trabalho no canteiro de obras</w:t>
            </w:r>
          </w:p>
        </w:tc>
        <w:tc>
          <w:tcPr>
            <w:tcW w:w="1671" w:type="dxa"/>
            <w:vAlign w:val="center"/>
            <w:hideMark/>
          </w:tcPr>
          <w:p w14:paraId="541135E0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Descumprimento das normas de segurança</w:t>
            </w:r>
          </w:p>
        </w:tc>
        <w:tc>
          <w:tcPr>
            <w:tcW w:w="1339" w:type="dxa"/>
            <w:vAlign w:val="center"/>
            <w:hideMark/>
          </w:tcPr>
          <w:p w14:paraId="334CB355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1294" w:type="dxa"/>
            <w:vAlign w:val="center"/>
            <w:hideMark/>
          </w:tcPr>
          <w:p w14:paraId="20889F5E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3456AAAC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Fiscalização do cumprimento das normas de saúde e segurança do trabalho</w:t>
            </w:r>
          </w:p>
        </w:tc>
        <w:tc>
          <w:tcPr>
            <w:tcW w:w="2081" w:type="dxa"/>
            <w:vAlign w:val="center"/>
            <w:hideMark/>
          </w:tcPr>
          <w:p w14:paraId="7BDE53EF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Paralisação dos serviços até a regularização das inconformidades</w:t>
            </w:r>
          </w:p>
        </w:tc>
      </w:tr>
      <w:tr w:rsidR="008510E5" w:rsidRPr="00573F95" w14:paraId="67811A06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0C249C30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Utilização de materiais de baixa qualidade</w:t>
            </w:r>
          </w:p>
        </w:tc>
        <w:tc>
          <w:tcPr>
            <w:tcW w:w="1671" w:type="dxa"/>
            <w:vAlign w:val="center"/>
            <w:hideMark/>
          </w:tcPr>
          <w:p w14:paraId="73889807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Tentativa de redução de custos pela contratada</w:t>
            </w:r>
          </w:p>
        </w:tc>
        <w:tc>
          <w:tcPr>
            <w:tcW w:w="1339" w:type="dxa"/>
            <w:vAlign w:val="center"/>
            <w:hideMark/>
          </w:tcPr>
          <w:p w14:paraId="5A3D466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294" w:type="dxa"/>
            <w:vAlign w:val="center"/>
            <w:hideMark/>
          </w:tcPr>
          <w:p w14:paraId="7BC26249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6B41834D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Fiscalização rigorosa e exigência de certificações dos materiais</w:t>
            </w:r>
          </w:p>
        </w:tc>
        <w:tc>
          <w:tcPr>
            <w:tcW w:w="2081" w:type="dxa"/>
            <w:vAlign w:val="center"/>
            <w:hideMark/>
          </w:tcPr>
          <w:p w14:paraId="4B5719AF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Rejeição dos materiais e substituição pela contratada</w:t>
            </w:r>
          </w:p>
        </w:tc>
      </w:tr>
      <w:tr w:rsidR="008510E5" w:rsidRPr="00573F95" w14:paraId="163F82DE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5ED05502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Falhas na fiscalização da obra</w:t>
            </w:r>
          </w:p>
        </w:tc>
        <w:tc>
          <w:tcPr>
            <w:tcW w:w="1671" w:type="dxa"/>
            <w:vAlign w:val="center"/>
            <w:hideMark/>
          </w:tcPr>
          <w:p w14:paraId="795A1F17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Insuficiência de acompanhamento técnico</w:t>
            </w:r>
          </w:p>
        </w:tc>
        <w:tc>
          <w:tcPr>
            <w:tcW w:w="1339" w:type="dxa"/>
            <w:vAlign w:val="center"/>
            <w:hideMark/>
          </w:tcPr>
          <w:p w14:paraId="1167AEBE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1294" w:type="dxa"/>
            <w:vAlign w:val="center"/>
            <w:hideMark/>
          </w:tcPr>
          <w:p w14:paraId="51A76C64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1EF6091A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Designação de fiscal e gestor de contrato qualificados</w:t>
            </w:r>
          </w:p>
        </w:tc>
        <w:tc>
          <w:tcPr>
            <w:tcW w:w="2081" w:type="dxa"/>
            <w:vAlign w:val="center"/>
            <w:hideMark/>
          </w:tcPr>
          <w:p w14:paraId="5FC7FCF1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Intensificação das inspeções e emissão de notificações</w:t>
            </w:r>
          </w:p>
        </w:tc>
      </w:tr>
      <w:tr w:rsidR="008510E5" w:rsidRPr="00573F95" w14:paraId="6F441625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1D8C45E8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Vandalismo ou depredação durante a execução</w:t>
            </w:r>
          </w:p>
        </w:tc>
        <w:tc>
          <w:tcPr>
            <w:tcW w:w="1671" w:type="dxa"/>
            <w:vAlign w:val="center"/>
            <w:hideMark/>
          </w:tcPr>
          <w:p w14:paraId="2962A528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Acesso indevido ao canteiro de obras</w:t>
            </w:r>
          </w:p>
        </w:tc>
        <w:tc>
          <w:tcPr>
            <w:tcW w:w="1339" w:type="dxa"/>
            <w:vAlign w:val="center"/>
            <w:hideMark/>
          </w:tcPr>
          <w:p w14:paraId="4866BB22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294" w:type="dxa"/>
            <w:vAlign w:val="center"/>
            <w:hideMark/>
          </w:tcPr>
          <w:p w14:paraId="2825EBC2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813" w:type="dxa"/>
            <w:vAlign w:val="center"/>
            <w:hideMark/>
          </w:tcPr>
          <w:p w14:paraId="51D2343D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Isolamento e sinalização adequada da área</w:t>
            </w:r>
          </w:p>
        </w:tc>
        <w:tc>
          <w:tcPr>
            <w:tcW w:w="2081" w:type="dxa"/>
            <w:vAlign w:val="center"/>
            <w:hideMark/>
          </w:tcPr>
          <w:p w14:paraId="082ADBEF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Reparo dos danos e reforço das medidas de segurança</w:t>
            </w:r>
          </w:p>
        </w:tc>
      </w:tr>
      <w:tr w:rsidR="008510E5" w:rsidRPr="00573F95" w14:paraId="1C4E30CD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22127DBB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Inadimplência contratual da empresa</w:t>
            </w:r>
          </w:p>
        </w:tc>
        <w:tc>
          <w:tcPr>
            <w:tcW w:w="1671" w:type="dxa"/>
            <w:vAlign w:val="center"/>
            <w:hideMark/>
          </w:tcPr>
          <w:p w14:paraId="3A6E452D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Problemas financeiros da contratada</w:t>
            </w:r>
          </w:p>
        </w:tc>
        <w:tc>
          <w:tcPr>
            <w:tcW w:w="1339" w:type="dxa"/>
            <w:vAlign w:val="center"/>
            <w:hideMark/>
          </w:tcPr>
          <w:p w14:paraId="3360ABCF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1294" w:type="dxa"/>
            <w:vAlign w:val="center"/>
            <w:hideMark/>
          </w:tcPr>
          <w:p w14:paraId="1EAC0396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48124DBC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Análise da capacidade econômico-financeira da empresa</w:t>
            </w:r>
          </w:p>
        </w:tc>
        <w:tc>
          <w:tcPr>
            <w:tcW w:w="2081" w:type="dxa"/>
            <w:vAlign w:val="center"/>
            <w:hideMark/>
          </w:tcPr>
          <w:p w14:paraId="013D00A3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Aplicação das penalidades e convocação dos remanescentes, quando cabível</w:t>
            </w:r>
          </w:p>
        </w:tc>
      </w:tr>
      <w:tr w:rsidR="008510E5" w:rsidRPr="00573F95" w14:paraId="4D4812FF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7EB2FC2A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lastRenderedPageBreak/>
              <w:t>Atraso na liberação de recursos financeiros</w:t>
            </w:r>
          </w:p>
        </w:tc>
        <w:tc>
          <w:tcPr>
            <w:tcW w:w="1671" w:type="dxa"/>
            <w:vAlign w:val="center"/>
            <w:hideMark/>
          </w:tcPr>
          <w:p w14:paraId="3380DED7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Questões orçamentárias ou administrativas</w:t>
            </w:r>
          </w:p>
        </w:tc>
        <w:tc>
          <w:tcPr>
            <w:tcW w:w="1339" w:type="dxa"/>
            <w:vAlign w:val="center"/>
            <w:hideMark/>
          </w:tcPr>
          <w:p w14:paraId="71F1BED6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1294" w:type="dxa"/>
            <w:vAlign w:val="center"/>
            <w:hideMark/>
          </w:tcPr>
          <w:p w14:paraId="623304B0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5A47B1F9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Planejamento financeiro prévio e reserva orçamentária</w:t>
            </w:r>
          </w:p>
        </w:tc>
        <w:tc>
          <w:tcPr>
            <w:tcW w:w="2081" w:type="dxa"/>
            <w:vAlign w:val="center"/>
            <w:hideMark/>
          </w:tcPr>
          <w:p w14:paraId="0B8375BA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Reprogramação da execução e dos desembolsos</w:t>
            </w:r>
          </w:p>
        </w:tc>
      </w:tr>
      <w:tr w:rsidR="008510E5" w:rsidRPr="00573F95" w14:paraId="462E2878" w14:textId="77777777" w:rsidTr="008510E5">
        <w:trPr>
          <w:tblCellSpacing w:w="15" w:type="dxa"/>
        </w:trPr>
        <w:tc>
          <w:tcPr>
            <w:tcW w:w="1657" w:type="dxa"/>
            <w:vAlign w:val="center"/>
            <w:hideMark/>
          </w:tcPr>
          <w:p w14:paraId="610DA3D7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Recebimento da obra com defeitos construtivos</w:t>
            </w:r>
          </w:p>
        </w:tc>
        <w:tc>
          <w:tcPr>
            <w:tcW w:w="1671" w:type="dxa"/>
            <w:vAlign w:val="center"/>
            <w:hideMark/>
          </w:tcPr>
          <w:p w14:paraId="63535BD3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Falhas de execução e controle de qualidade</w:t>
            </w:r>
          </w:p>
        </w:tc>
        <w:tc>
          <w:tcPr>
            <w:tcW w:w="1339" w:type="dxa"/>
            <w:vAlign w:val="center"/>
            <w:hideMark/>
          </w:tcPr>
          <w:p w14:paraId="0FF69D00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294" w:type="dxa"/>
            <w:vAlign w:val="center"/>
            <w:hideMark/>
          </w:tcPr>
          <w:p w14:paraId="02F1B955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813" w:type="dxa"/>
            <w:vAlign w:val="center"/>
            <w:hideMark/>
          </w:tcPr>
          <w:p w14:paraId="0E5FAB6D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Fiscalização contínua e realização de testes e inspeções</w:t>
            </w:r>
          </w:p>
        </w:tc>
        <w:tc>
          <w:tcPr>
            <w:tcW w:w="2081" w:type="dxa"/>
            <w:vAlign w:val="center"/>
            <w:hideMark/>
          </w:tcPr>
          <w:p w14:paraId="07403B43" w14:textId="77777777" w:rsidR="00573F95" w:rsidRPr="00573F95" w:rsidRDefault="00573F95" w:rsidP="008510E5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573F9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Acionamento da garantia contratual para correção dos defeitos</w:t>
            </w:r>
          </w:p>
        </w:tc>
      </w:tr>
    </w:tbl>
    <w:p w14:paraId="27A645A4" w14:textId="77777777" w:rsidR="005B5CA8" w:rsidRDefault="005B5CA8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F5F8FCA" w14:textId="3BE2CAD6" w:rsid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Belo Jardim, </w:t>
      </w:r>
      <w:r w:rsidR="006A4D90">
        <w:rPr>
          <w:rFonts w:ascii="Arial" w:eastAsia="Times New Roman" w:hAnsi="Arial" w:cs="Arial"/>
          <w:sz w:val="24"/>
          <w:szCs w:val="24"/>
          <w:lang w:eastAsia="pt-BR"/>
        </w:rPr>
        <w:t>02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 de </w:t>
      </w:r>
      <w:r w:rsidR="006A4D90">
        <w:rPr>
          <w:rFonts w:ascii="Arial" w:eastAsia="Times New Roman" w:hAnsi="Arial" w:cs="Arial"/>
          <w:sz w:val="24"/>
          <w:szCs w:val="24"/>
          <w:lang w:eastAsia="pt-BR"/>
        </w:rPr>
        <w:t>junho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 de 202</w:t>
      </w:r>
      <w:r>
        <w:rPr>
          <w:rFonts w:ascii="Arial" w:eastAsia="Times New Roman" w:hAnsi="Arial" w:cs="Arial"/>
          <w:sz w:val="24"/>
          <w:szCs w:val="24"/>
          <w:lang w:eastAsia="pt-BR"/>
        </w:rPr>
        <w:t>6</w:t>
      </w:r>
    </w:p>
    <w:p w14:paraId="2C8C5C5B" w14:textId="56E99615" w:rsidR="008146D0" w:rsidRDefault="008146D0" w:rsidP="008146D0">
      <w:pPr>
        <w:rPr>
          <w:rFonts w:ascii="Arial" w:eastAsia="Arial" w:hAnsi="Arial" w:cs="Arial"/>
          <w:sz w:val="24"/>
          <w:szCs w:val="24"/>
        </w:rPr>
      </w:pPr>
    </w:p>
    <w:p w14:paraId="76CF3186" w14:textId="7D657F7A" w:rsidR="005B5CA8" w:rsidRDefault="006A4D90" w:rsidP="005B5CA8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ANTÔNIO CARLOS JERONIMO DA SILVA</w:t>
      </w:r>
    </w:p>
    <w:p w14:paraId="05ABD6A6" w14:textId="77777777" w:rsidR="005B5CA8" w:rsidRDefault="005B5CA8" w:rsidP="005B5CA8">
      <w:pPr>
        <w:spacing w:after="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Diretor de Engenharia</w:t>
      </w:r>
    </w:p>
    <w:p w14:paraId="5A2F960B" w14:textId="6E9C0BD8" w:rsidR="005B5CA8" w:rsidRDefault="005B5CA8" w:rsidP="008146D0">
      <w:pPr>
        <w:rPr>
          <w:rFonts w:ascii="Arial" w:eastAsia="Arial" w:hAnsi="Arial" w:cs="Arial"/>
          <w:sz w:val="24"/>
          <w:szCs w:val="24"/>
        </w:rPr>
      </w:pPr>
    </w:p>
    <w:p w14:paraId="41A06C96" w14:textId="77777777" w:rsidR="00BB3816" w:rsidRDefault="00BB3816" w:rsidP="00BB3816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JOEDNA DE SOUZA SANTOS</w:t>
      </w:r>
    </w:p>
    <w:p w14:paraId="427291AE" w14:textId="30693CD0" w:rsidR="00BB3816" w:rsidRDefault="00BB3816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  <w:r w:rsidRPr="009F0912">
        <w:rPr>
          <w:rFonts w:ascii="Arial" w:eastAsia="Arial" w:hAnsi="Arial" w:cs="Arial"/>
          <w:sz w:val="24"/>
          <w:szCs w:val="24"/>
        </w:rPr>
        <w:t xml:space="preserve">Secretária de </w:t>
      </w:r>
      <w:r>
        <w:rPr>
          <w:rFonts w:ascii="Arial" w:eastAsia="Arial" w:hAnsi="Arial" w:cs="Arial"/>
          <w:sz w:val="24"/>
          <w:szCs w:val="24"/>
        </w:rPr>
        <w:t>I</w:t>
      </w:r>
      <w:r w:rsidRPr="009F0912">
        <w:rPr>
          <w:rFonts w:ascii="Arial" w:eastAsia="Arial" w:hAnsi="Arial" w:cs="Arial"/>
          <w:sz w:val="24"/>
          <w:szCs w:val="24"/>
        </w:rPr>
        <w:t xml:space="preserve">nfraestrutura e </w:t>
      </w:r>
      <w:r>
        <w:rPr>
          <w:rFonts w:ascii="Arial" w:eastAsia="Arial" w:hAnsi="Arial" w:cs="Arial"/>
          <w:sz w:val="24"/>
          <w:szCs w:val="24"/>
        </w:rPr>
        <w:t>U</w:t>
      </w:r>
      <w:r w:rsidRPr="009F0912">
        <w:rPr>
          <w:rFonts w:ascii="Arial" w:eastAsia="Arial" w:hAnsi="Arial" w:cs="Arial"/>
          <w:sz w:val="24"/>
          <w:szCs w:val="24"/>
        </w:rPr>
        <w:t>rbanismo</w:t>
      </w:r>
    </w:p>
    <w:p w14:paraId="504EC6E9" w14:textId="7931C031" w:rsidR="007D57BD" w:rsidRDefault="007D57BD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04A7190E" w14:textId="1978EE4D" w:rsidR="007D57BD" w:rsidRDefault="007D57BD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4F5ACD00" w14:textId="77777777" w:rsidR="007D57BD" w:rsidRDefault="007D57BD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6D5B733E" w14:textId="77777777" w:rsidR="00BF37B3" w:rsidRPr="00BF37B3" w:rsidRDefault="00BF37B3" w:rsidP="00BF37B3">
      <w:pPr>
        <w:rPr>
          <w:rFonts w:ascii="Times New Roman" w:eastAsia="Times New Roman" w:hAnsi="Times New Roman"/>
          <w:sz w:val="24"/>
          <w:szCs w:val="24"/>
          <w:lang w:eastAsia="pt-BR"/>
        </w:rPr>
      </w:pPr>
    </w:p>
    <w:sectPr w:rsidR="00BF37B3" w:rsidRPr="00BF37B3" w:rsidSect="002855CD">
      <w:headerReference w:type="default" r:id="rId8"/>
      <w:footerReference w:type="default" r:id="rId9"/>
      <w:pgSz w:w="11906" w:h="16838"/>
      <w:pgMar w:top="1417" w:right="1701" w:bottom="1417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1D210" w14:textId="77777777" w:rsidR="000E1897" w:rsidRDefault="000E1897">
      <w:pPr>
        <w:spacing w:after="0" w:line="240" w:lineRule="auto"/>
      </w:pPr>
      <w:r>
        <w:separator/>
      </w:r>
    </w:p>
  </w:endnote>
  <w:endnote w:type="continuationSeparator" w:id="0">
    <w:p w14:paraId="268C349F" w14:textId="77777777" w:rsidR="000E1897" w:rsidRDefault="000E1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0E45F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Av. Deputado José Mendonça Bezerra, nº 220 – Centro - Belo Jardim – PE.</w:t>
    </w:r>
  </w:p>
  <w:p w14:paraId="5815D85E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  <w:lang w:val="en-US"/>
      </w:rPr>
      <w:t>CEP: 55150-005 - CNPJ: 10.260.222/0001-05</w:t>
    </w:r>
  </w:p>
  <w:p w14:paraId="591A6F67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  <w:lang w:val="en-US"/>
      </w:rPr>
      <w:t>www.belojardim.pe.gov.br</w:t>
    </w:r>
  </w:p>
  <w:p w14:paraId="6630B9C7" w14:textId="77777777" w:rsidR="006666B1" w:rsidRDefault="006666B1">
    <w:pPr>
      <w:pStyle w:val="Rodap"/>
      <w:jc w:val="center"/>
      <w:rPr>
        <w:rFonts w:ascii="Times New Roman" w:hAnsi="Times New Roman"/>
        <w:sz w:val="20"/>
        <w:szCs w:val="20"/>
        <w:lang w:val="en-US"/>
      </w:rPr>
    </w:pPr>
  </w:p>
  <w:p w14:paraId="7653EEB1" w14:textId="77777777" w:rsidR="006666B1" w:rsidRDefault="006666B1">
    <w:pPr>
      <w:pStyle w:val="Rodap"/>
      <w:jc w:val="center"/>
      <w:rPr>
        <w:rFonts w:ascii="Times New Roman" w:hAnsi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49CE8" w14:textId="77777777" w:rsidR="000E1897" w:rsidRDefault="000E1897">
      <w:pPr>
        <w:spacing w:after="0" w:line="240" w:lineRule="auto"/>
      </w:pPr>
      <w:r>
        <w:separator/>
      </w:r>
    </w:p>
  </w:footnote>
  <w:footnote w:type="continuationSeparator" w:id="0">
    <w:p w14:paraId="02027E5A" w14:textId="77777777" w:rsidR="000E1897" w:rsidRDefault="000E1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D2AE2" w14:textId="47AD9B25" w:rsidR="006666B1" w:rsidRDefault="00F01131">
    <w:pPr>
      <w:pStyle w:val="Cabealho"/>
      <w:jc w:val="center"/>
      <w:rPr>
        <w:rFonts w:ascii="Arial" w:hAnsi="Arial" w:cs="Arial"/>
        <w:color w:val="333399"/>
        <w:sz w:val="17"/>
        <w:szCs w:val="17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A25B254" wp14:editId="193F4A67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2827587" cy="632379"/>
          <wp:effectExtent l="0" t="0" r="0" b="0"/>
          <wp:wrapNone/>
          <wp:docPr id="3" name="Imagem 3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7587" cy="6323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2A2E94E" w14:textId="77777777" w:rsidR="006666B1" w:rsidRDefault="006666B1">
    <w:pPr>
      <w:pStyle w:val="Cabealho"/>
      <w:jc w:val="center"/>
      <w:rPr>
        <w:rFonts w:ascii="Arial" w:hAnsi="Arial" w:cs="Arial"/>
        <w:color w:val="333399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3718"/>
    <w:multiLevelType w:val="multilevel"/>
    <w:tmpl w:val="8042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3161C"/>
    <w:multiLevelType w:val="multilevel"/>
    <w:tmpl w:val="B65C9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C151D7"/>
    <w:multiLevelType w:val="multilevel"/>
    <w:tmpl w:val="CA801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7382054">
    <w:abstractNumId w:val="0"/>
  </w:num>
  <w:num w:numId="2" w16cid:durableId="251552843">
    <w:abstractNumId w:val="1"/>
  </w:num>
  <w:num w:numId="3" w16cid:durableId="11234199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6B1"/>
    <w:rsid w:val="00044D69"/>
    <w:rsid w:val="000B3519"/>
    <w:rsid w:val="000E1897"/>
    <w:rsid w:val="000E4AA4"/>
    <w:rsid w:val="001050BC"/>
    <w:rsid w:val="001A1146"/>
    <w:rsid w:val="001D5501"/>
    <w:rsid w:val="001E0B29"/>
    <w:rsid w:val="00274FE5"/>
    <w:rsid w:val="002855CD"/>
    <w:rsid w:val="002A3D36"/>
    <w:rsid w:val="002B4835"/>
    <w:rsid w:val="0031495E"/>
    <w:rsid w:val="00321351"/>
    <w:rsid w:val="003E3693"/>
    <w:rsid w:val="00424F74"/>
    <w:rsid w:val="004404E8"/>
    <w:rsid w:val="00462FC4"/>
    <w:rsid w:val="004A6B5D"/>
    <w:rsid w:val="004D7010"/>
    <w:rsid w:val="004E5E2A"/>
    <w:rsid w:val="004F7430"/>
    <w:rsid w:val="00573F95"/>
    <w:rsid w:val="0059782F"/>
    <w:rsid w:val="005B2554"/>
    <w:rsid w:val="005B5CA8"/>
    <w:rsid w:val="00621D60"/>
    <w:rsid w:val="006666B1"/>
    <w:rsid w:val="006A4D90"/>
    <w:rsid w:val="006B3CCB"/>
    <w:rsid w:val="00707DC6"/>
    <w:rsid w:val="00732926"/>
    <w:rsid w:val="007D57BD"/>
    <w:rsid w:val="008146D0"/>
    <w:rsid w:val="00845D26"/>
    <w:rsid w:val="008510E5"/>
    <w:rsid w:val="008E1BAE"/>
    <w:rsid w:val="009267BE"/>
    <w:rsid w:val="0096082D"/>
    <w:rsid w:val="00983808"/>
    <w:rsid w:val="009A2A16"/>
    <w:rsid w:val="00AE7DD0"/>
    <w:rsid w:val="00AF3F2E"/>
    <w:rsid w:val="00B259A8"/>
    <w:rsid w:val="00B403B2"/>
    <w:rsid w:val="00B64306"/>
    <w:rsid w:val="00B85EA6"/>
    <w:rsid w:val="00BB3816"/>
    <w:rsid w:val="00BF37B3"/>
    <w:rsid w:val="00C35FAA"/>
    <w:rsid w:val="00C751D0"/>
    <w:rsid w:val="00CC2DDF"/>
    <w:rsid w:val="00CC6E5A"/>
    <w:rsid w:val="00D242D8"/>
    <w:rsid w:val="00D3645C"/>
    <w:rsid w:val="00D73BBD"/>
    <w:rsid w:val="00DD43DA"/>
    <w:rsid w:val="00DF2000"/>
    <w:rsid w:val="00E13C08"/>
    <w:rsid w:val="00E309E8"/>
    <w:rsid w:val="00E475D8"/>
    <w:rsid w:val="00EA7742"/>
    <w:rsid w:val="00F01131"/>
    <w:rsid w:val="00F814D6"/>
    <w:rsid w:val="00FB5529"/>
    <w:rsid w:val="00FC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657E3"/>
  <w15:docId w15:val="{84C33B6E-77F1-48A4-8A31-6CAEA9F6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CA8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45D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qFormat/>
    <w:rsid w:val="002855CD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2855CD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2B756E"/>
  </w:style>
  <w:style w:type="character" w:customStyle="1" w:styleId="RodapChar">
    <w:name w:val="Rodapé Char"/>
    <w:basedOn w:val="Fontepargpadro"/>
    <w:link w:val="Rodap"/>
    <w:uiPriority w:val="99"/>
    <w:qFormat/>
    <w:rsid w:val="002B756E"/>
  </w:style>
  <w:style w:type="character" w:customStyle="1" w:styleId="TextodebaloChar">
    <w:name w:val="Texto de balão Char"/>
    <w:link w:val="Textodebalo"/>
    <w:uiPriority w:val="99"/>
    <w:semiHidden/>
    <w:qFormat/>
    <w:rsid w:val="00125E92"/>
    <w:rPr>
      <w:rFonts w:ascii="Tahoma" w:hAnsi="Tahoma" w:cs="Tahoma"/>
      <w:sz w:val="16"/>
      <w:szCs w:val="16"/>
      <w:lang w:eastAsia="en-US"/>
    </w:rPr>
  </w:style>
  <w:style w:type="character" w:customStyle="1" w:styleId="LinkdaInternet">
    <w:name w:val="Link da Internet"/>
    <w:uiPriority w:val="99"/>
    <w:unhideWhenUsed/>
    <w:rsid w:val="00021507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A10924"/>
    <w:rPr>
      <w:color w:val="605E5C"/>
      <w:shd w:val="clear" w:color="auto" w:fill="E1DFDD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2B756E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2B756E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25E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B109B"/>
    <w:pPr>
      <w:ind w:left="708"/>
    </w:pPr>
  </w:style>
  <w:style w:type="paragraph" w:styleId="NormalWeb">
    <w:name w:val="Normal (Web)"/>
    <w:basedOn w:val="Normal"/>
    <w:uiPriority w:val="99"/>
    <w:unhideWhenUsed/>
    <w:qFormat/>
    <w:rsid w:val="00454F94"/>
    <w:pPr>
      <w:spacing w:beforeAutospacing="1" w:afterAutospacing="1" w:line="240" w:lineRule="auto"/>
    </w:pPr>
    <w:rPr>
      <w:rFonts w:eastAsiaTheme="minorHAnsi" w:cs="Calibri"/>
      <w:lang w:eastAsia="pt-BR"/>
    </w:rPr>
  </w:style>
  <w:style w:type="paragraph" w:customStyle="1" w:styleId="western">
    <w:name w:val="western"/>
    <w:basedOn w:val="Normal"/>
    <w:qFormat/>
    <w:rsid w:val="00360E31"/>
    <w:pPr>
      <w:spacing w:beforeAutospacing="1" w:after="142" w:line="288" w:lineRule="auto"/>
    </w:pPr>
    <w:rPr>
      <w:rFonts w:eastAsia="Times New Roman" w:cs="Calibri"/>
      <w:color w:val="00000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2855CD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Ttulo3Char">
    <w:name w:val="Título 3 Char"/>
    <w:basedOn w:val="Fontepargpadro"/>
    <w:link w:val="Ttulo3"/>
    <w:uiPriority w:val="9"/>
    <w:rsid w:val="002855CD"/>
    <w:rPr>
      <w:rFonts w:ascii="Times New Roman" w:eastAsia="Times New Roman" w:hAnsi="Times New Roman"/>
      <w:b/>
      <w:bCs/>
      <w:sz w:val="27"/>
      <w:szCs w:val="27"/>
    </w:rPr>
  </w:style>
  <w:style w:type="character" w:styleId="Forte">
    <w:name w:val="Strong"/>
    <w:basedOn w:val="Fontepargpadro"/>
    <w:uiPriority w:val="22"/>
    <w:qFormat/>
    <w:rsid w:val="002855CD"/>
    <w:rPr>
      <w:b/>
      <w:bCs/>
    </w:rPr>
  </w:style>
  <w:style w:type="character" w:styleId="nfase">
    <w:name w:val="Emphasis"/>
    <w:basedOn w:val="Fontepargpadro"/>
    <w:uiPriority w:val="20"/>
    <w:qFormat/>
    <w:rsid w:val="002855CD"/>
    <w:rPr>
      <w:i/>
      <w:iCs/>
    </w:rPr>
  </w:style>
  <w:style w:type="character" w:customStyle="1" w:styleId="Ttulo1Char">
    <w:name w:val="Título 1 Char"/>
    <w:basedOn w:val="Fontepargpadro"/>
    <w:link w:val="Ttulo1"/>
    <w:uiPriority w:val="9"/>
    <w:rsid w:val="00845D2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E9A71-4C11-4BEE-A35D-5214AFE88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577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Belo Jardim, em 10 de junho de 2008</vt:lpstr>
    </vt:vector>
  </TitlesOfParts>
  <Company>GG Galvão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Belo Jardim, em 10 de junho de 2008</dc:title>
  <dc:subject/>
  <dc:creator>Gilvam George Galvão Cavalcante</dc:creator>
  <dc:description/>
  <cp:lastModifiedBy>Belo Jardim</cp:lastModifiedBy>
  <cp:revision>12</cp:revision>
  <cp:lastPrinted>2024-08-05T11:51:00Z</cp:lastPrinted>
  <dcterms:created xsi:type="dcterms:W3CDTF">2025-01-06T12:04:00Z</dcterms:created>
  <dcterms:modified xsi:type="dcterms:W3CDTF">2026-06-01T12:50:00Z</dcterms:modified>
  <dc:language>pt-BR</dc:language>
</cp:coreProperties>
</file>